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bookmarkStart w:id="0" w:name="_GoBack"/>
          <w:permStart w:id="2088710703" w:edGrp="everyone"/>
          <w:sdt>
            <w:sdtPr>
              <w:rPr>
                <w:rFonts w:asciiTheme="majorHAnsi" w:hAnsiTheme="majorHAnsi"/>
              </w:rPr>
              <w:id w:val="-786346552"/>
              <w:placeholder>
                <w:docPart w:val="898563F6D8E240729450FD614677EC49"/>
              </w:placeholder>
            </w:sdtPr>
            <w:sdtContent>
              <w:r w:rsidR="00EF6AE0">
                <w:rPr>
                  <w:rFonts w:asciiTheme="majorHAnsi" w:hAnsiTheme="majorHAnsi"/>
                </w:rPr>
                <w:t>NHP08</w:t>
              </w:r>
              <w:r w:rsidR="00EF6AE0">
                <w:rPr>
                  <w:rFonts w:asciiTheme="majorHAnsi" w:hAnsiTheme="majorHAnsi"/>
                </w:rPr>
                <w:t xml:space="preserve"> (2014)</w:t>
              </w:r>
            </w:sdtContent>
          </w:sdt>
          <w:bookmarkEnd w:id="0"/>
          <w:permEnd w:id="2088710703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064909215" w:edGrp="everyone"/>
    <w:p w:rsidR="00AF3758" w:rsidRPr="00592A95" w:rsidRDefault="00894D1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52F6">
            <w:rPr>
              <w:rFonts w:ascii="MS Gothic" w:eastAsia="MS Gothic" w:hAnsi="MS Gothic" w:hint="eastAsia"/>
            </w:rPr>
            <w:t>☒</w:t>
          </w:r>
        </w:sdtContent>
      </w:sdt>
      <w:permEnd w:id="106490921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291654073" w:edGrp="everyone"/>
    <w:p w:rsidR="001F5E9E" w:rsidRPr="001F5E9E" w:rsidRDefault="00894D1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29165407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894D1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</w:sdtPr>
              <w:sdtEndPr/>
              <w:sdtContent>
                <w:permStart w:id="1759516348" w:edGrp="everyone"/>
                <w:r w:rsidR="001952F6">
                  <w:rPr>
                    <w:rFonts w:asciiTheme="majorHAnsi" w:hAnsiTheme="majorHAnsi"/>
                    <w:sz w:val="20"/>
                    <w:szCs w:val="20"/>
                  </w:rPr>
                  <w:t>Kristie Vinson</w:t>
                </w:r>
                <w:permEnd w:id="175951634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date w:fullDate="2014-08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7178683" w:edGrp="everyone"/>
                <w:r w:rsidR="001952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8/26/2014</w:t>
                </w:r>
                <w:permEnd w:id="23717868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894D1C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10870246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870246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611920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611920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894D1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32565048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565048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86218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862186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894D1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2065925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065925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024708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024708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894D1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74452163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4452163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574538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574538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894D1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88227423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8227423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870515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870515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894D1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62400045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400045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215437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215437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894D1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209028528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028528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302618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302618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894D1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47299003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7299003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970270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970270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545488207" w:edGrp="everyone" w:displacedByCustomXml="prev"/>
        <w:p w:rsidR="00F87DAF" w:rsidRDefault="001952F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HP 4133 Performance Enhancement Metabolism for Sport and Exercise</w:t>
          </w:r>
        </w:p>
        <w:permEnd w:id="545488207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1573401915" w:edGrp="everyone" w:displacedByCustomXml="prev"/>
        <w:p w:rsidR="00F87DAF" w:rsidRDefault="001952F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Kristie Vinson, </w:t>
          </w:r>
          <w:hyperlink r:id="rId9" w:history="1">
            <w:r w:rsidRPr="00BA3AB9">
              <w:rPr>
                <w:rStyle w:val="Hyperlink"/>
                <w:rFonts w:asciiTheme="majorHAnsi" w:hAnsiTheme="majorHAnsi" w:cs="Arial"/>
                <w:sz w:val="20"/>
                <w:szCs w:val="20"/>
              </w:rPr>
              <w:t>kvinson@astate.edu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, 870-972-3236</w:t>
          </w:r>
        </w:p>
        <w:permEnd w:id="1573401915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1660501428" w:edGrp="everyone" w:displacedByCustomXml="prev"/>
        <w:p w:rsidR="00F87DAF" w:rsidRDefault="001952F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has not been offered since 2011. It was an elective and was not required to satisfy graduation requirements.</w:t>
          </w:r>
        </w:p>
        <w:permEnd w:id="1660501428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2182F160A65C40D3AB856E753A4E745F"/>
        </w:placeholder>
      </w:sdtPr>
      <w:sdtEndPr/>
      <w:sdtContent>
        <w:permStart w:id="314055628" w:edGrp="everyone" w:displacedByCustomXml="prev"/>
        <w:p w:rsidR="00F87DAF" w:rsidRDefault="001952F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was created as an elective for students in health related fields interested in sports</w:t>
          </w:r>
          <w:r w:rsidR="00390542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exercise and metabolism.</w:t>
          </w:r>
        </w:p>
        <w:permEnd w:id="314055628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0615C03D11FB4FE485033E02FDD97EA7"/>
        </w:placeholder>
      </w:sdtPr>
      <w:sdtEndPr/>
      <w:sdtContent>
        <w:permStart w:id="1944060733" w:edGrp="everyone" w:displacedByCustomXml="prev"/>
        <w:p w:rsidR="00F87DAF" w:rsidRDefault="0039054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adverse affect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1944060733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116941156" w:edGrp="everyone" w:displacedByCustomXml="prev"/>
        <w:p w:rsidR="00F87DAF" w:rsidRDefault="0039054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adverse effect.</w:t>
          </w:r>
        </w:p>
        <w:permEnd w:id="116941156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615213126" w:edGrp="everyone"/>
          <w:r w:rsidR="00390542">
            <w:rPr>
              <w:rFonts w:asciiTheme="majorHAnsi" w:hAnsiTheme="majorHAnsi" w:cs="Arial"/>
              <w:sz w:val="20"/>
              <w:szCs w:val="20"/>
            </w:rPr>
            <w:t>No</w:t>
          </w:r>
          <w:permEnd w:id="615213126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841041455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41041455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339806318" w:edGrp="everyone"/>
          <w:r w:rsidR="00390542">
            <w:rPr>
              <w:rFonts w:asciiTheme="majorHAnsi" w:hAnsiTheme="majorHAnsi" w:cs="Arial"/>
              <w:sz w:val="20"/>
              <w:szCs w:val="20"/>
            </w:rPr>
            <w:t>No</w:t>
          </w:r>
          <w:permEnd w:id="339806318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585203517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85203517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416822872" w:edGrp="everyone" w:displacedByCustomXml="prev"/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3233.</w:t>
          </w:r>
          <w:proofErr w:type="gramEnd"/>
          <w:r>
            <w:rPr>
              <w:rStyle w:val="A1"/>
              <w:b/>
              <w:bCs/>
            </w:rPr>
            <w:t xml:space="preserve"> Preventive Health </w:t>
          </w:r>
          <w:r>
            <w:rPr>
              <w:rStyle w:val="A1"/>
            </w:rPr>
            <w:t xml:space="preserve">Teaching and “coaching” patients toward managing, mitigating, and/or preventing health dysfunctions encountered by citizens of the Delta region. Examines the impact health promotion and preventive practices have on the quality of life across the life span. Fall.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3353.</w:t>
          </w:r>
          <w:proofErr w:type="gramEnd"/>
          <w:r>
            <w:rPr>
              <w:rStyle w:val="A1"/>
              <w:b/>
              <w:bCs/>
            </w:rPr>
            <w:t xml:space="preserve"> Public Health: Principles and Practice </w:t>
          </w:r>
          <w:r>
            <w:rPr>
              <w:rStyle w:val="A1"/>
            </w:rPr>
            <w:t xml:space="preserve">Overview of the unique features of public health in the rapidly changing US and global health care delivery system from a population, global health perspective. Fall.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3413.</w:t>
          </w:r>
          <w:proofErr w:type="gramEnd"/>
          <w:r>
            <w:rPr>
              <w:rStyle w:val="A1"/>
              <w:b/>
              <w:bCs/>
            </w:rPr>
            <w:t xml:space="preserve"> Cultural Competence in the Health Professions </w:t>
          </w:r>
          <w:proofErr w:type="spellStart"/>
          <w:r>
            <w:rPr>
              <w:rStyle w:val="A1"/>
            </w:rPr>
            <w:t>Self assessment</w:t>
          </w:r>
          <w:proofErr w:type="spellEnd"/>
          <w:r>
            <w:rPr>
              <w:rStyle w:val="A1"/>
            </w:rPr>
            <w:t xml:space="preserve"> of awareness, knowledge, sensitivity and acceptance of the importance of cultural issues in a culturally diverse health care environment, definition and components of culture, cultural values, cultural competence, health and healing traditions, transcultural communication, fostering cultural competence in col</w:t>
          </w:r>
          <w:r>
            <w:rPr>
              <w:rStyle w:val="A1"/>
            </w:rPr>
            <w:softHyphen/>
            <w:t xml:space="preserve">leagues.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3453.</w:t>
          </w:r>
          <w:proofErr w:type="gramEnd"/>
          <w:r>
            <w:rPr>
              <w:rStyle w:val="A1"/>
              <w:b/>
              <w:bCs/>
            </w:rPr>
            <w:t xml:space="preserve"> Healthcare Navigation </w:t>
          </w:r>
          <w:r>
            <w:rPr>
              <w:rStyle w:val="A1"/>
            </w:rPr>
            <w:t>The patient navigation model includes the timely move</w:t>
          </w:r>
          <w:r>
            <w:rPr>
              <w:rStyle w:val="A1"/>
            </w:rPr>
            <w:softHyphen/>
            <w:t xml:space="preserve">ment of an individual across the entire health care continuum from prevention, detection, diagnosis, treatment, and supportive, to end-of-life care.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3463.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Introduction to Pharmaceuticals </w:t>
          </w:r>
          <w:r>
            <w:rPr>
              <w:rStyle w:val="A1"/>
            </w:rPr>
            <w:t>An introduction to pharmaceuticals in modern heath care.</w:t>
          </w:r>
          <w:proofErr w:type="gramEnd"/>
          <w:r>
            <w:rPr>
              <w:rStyle w:val="A1"/>
            </w:rPr>
            <w:t xml:space="preserve"> Issues related to regulation, drug development, drug safety (including age related is</w:t>
          </w:r>
          <w:r>
            <w:rPr>
              <w:rStyle w:val="A1"/>
            </w:rPr>
            <w:softHyphen/>
            <w:t xml:space="preserve">sues, polypharmacy, and abuse) and quality control are included.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3673.</w:t>
          </w:r>
          <w:proofErr w:type="gramEnd"/>
          <w:r>
            <w:rPr>
              <w:rStyle w:val="A1"/>
              <w:b/>
              <w:bCs/>
            </w:rPr>
            <w:t xml:space="preserve"> Critical Issues in Health </w:t>
          </w:r>
          <w:r>
            <w:rPr>
              <w:rStyle w:val="A1"/>
            </w:rPr>
            <w:t xml:space="preserve">Examination of critical health and health care issues from clinical, legislative, and community perspectives.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3783.</w:t>
          </w:r>
          <w:proofErr w:type="gramEnd"/>
          <w:r>
            <w:rPr>
              <w:rStyle w:val="A1"/>
              <w:b/>
              <w:bCs/>
            </w:rPr>
            <w:t xml:space="preserve"> Issues in Mental Health </w:t>
          </w:r>
          <w:r>
            <w:rPr>
              <w:rStyle w:val="A1"/>
            </w:rPr>
            <w:t xml:space="preserve">Examination of a variety of mental health conditions and behaviors, including many of the help-seeking behaviors seen currently in health care settings, including major public health threats to our society will be discussed.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lastRenderedPageBreak/>
            <w:t>HP 4103.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Patient Education in Healthcare </w:t>
          </w:r>
          <w:r>
            <w:rPr>
              <w:rStyle w:val="A1"/>
            </w:rPr>
            <w:t>Teaching strategies and methodologies that compare and contrast teacher-centered versus patient-centered approaches within the context of healthcare.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390542" w:rsidRPr="00901064" w:rsidRDefault="00390542">
          <w:pPr>
            <w:pStyle w:val="Pa409"/>
            <w:spacing w:after="120"/>
            <w:ind w:left="360" w:hanging="360"/>
            <w:jc w:val="both"/>
            <w:rPr>
              <w:strike/>
              <w:color w:val="548DD4" w:themeColor="text2" w:themeTint="99"/>
              <w:sz w:val="32"/>
              <w:szCs w:val="32"/>
            </w:rPr>
          </w:pPr>
          <w:proofErr w:type="gramStart"/>
          <w:r w:rsidRPr="00901064">
            <w:rPr>
              <w:rStyle w:val="A1"/>
              <w:b/>
              <w:bCs/>
              <w:strike/>
              <w:color w:val="548DD4" w:themeColor="text2" w:themeTint="99"/>
              <w:sz w:val="32"/>
              <w:szCs w:val="32"/>
            </w:rPr>
            <w:t>HP 4133.</w:t>
          </w:r>
          <w:proofErr w:type="gramEnd"/>
          <w:r w:rsidRPr="00901064">
            <w:rPr>
              <w:rStyle w:val="A1"/>
              <w:b/>
              <w:bCs/>
              <w:strike/>
              <w:color w:val="548DD4" w:themeColor="text2" w:themeTint="99"/>
              <w:sz w:val="32"/>
              <w:szCs w:val="32"/>
            </w:rPr>
            <w:t xml:space="preserve"> Performance Enhancement and Metabolism for Sport and Exercise </w:t>
          </w:r>
          <w:r w:rsidRPr="00901064">
            <w:rPr>
              <w:rStyle w:val="A1"/>
              <w:strike/>
              <w:color w:val="548DD4" w:themeColor="text2" w:themeTint="99"/>
              <w:sz w:val="32"/>
              <w:szCs w:val="32"/>
            </w:rPr>
            <w:t xml:space="preserve">Provides learners with a basic and applied scientific knowledge base that can be used to enhance human performance, to protect the health and safety of active individuals, and to be a critical consumer. Special course fees may apply. </w:t>
          </w:r>
          <w:proofErr w:type="gramStart"/>
          <w:r w:rsidRPr="00901064">
            <w:rPr>
              <w:rStyle w:val="A1"/>
              <w:strike/>
              <w:color w:val="548DD4" w:themeColor="text2" w:themeTint="99"/>
              <w:sz w:val="32"/>
              <w:szCs w:val="32"/>
            </w:rPr>
            <w:t>Spring.</w:t>
          </w:r>
          <w:proofErr w:type="gramEnd"/>
          <w:r w:rsidRPr="00901064">
            <w:rPr>
              <w:rStyle w:val="A1"/>
              <w:strike/>
              <w:color w:val="548DD4" w:themeColor="text2" w:themeTint="99"/>
              <w:sz w:val="32"/>
              <w:szCs w:val="32"/>
            </w:rPr>
            <w:t xml:space="preserve">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4213.</w:t>
          </w:r>
          <w:proofErr w:type="gramEnd"/>
          <w:r>
            <w:rPr>
              <w:rStyle w:val="A1"/>
              <w:b/>
              <w:bCs/>
            </w:rPr>
            <w:t xml:space="preserve"> Chronic Illness </w:t>
          </w:r>
          <w:r>
            <w:rPr>
              <w:rStyle w:val="A1"/>
            </w:rPr>
            <w:t xml:space="preserve">An introduction to the scope and nature of living with chronic disease or illness with a focus on identifying chronic illnesses that affect not only the individual, but families and communities. Fall.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4323.</w:t>
          </w:r>
          <w:proofErr w:type="gramEnd"/>
          <w:r>
            <w:rPr>
              <w:rStyle w:val="A1"/>
              <w:b/>
              <w:bCs/>
            </w:rPr>
            <w:t xml:space="preserve"> Patient Safety </w:t>
          </w:r>
          <w:r>
            <w:rPr>
              <w:rStyle w:val="A1"/>
            </w:rPr>
            <w:t xml:space="preserve">An introduction to the scope and nature of most adverse events related to patient safety, with a focus and focuses on identification and prevention of patient safety issues. Fall.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4433.</w:t>
          </w:r>
          <w:proofErr w:type="gramEnd"/>
          <w:r>
            <w:rPr>
              <w:rStyle w:val="A1"/>
              <w:b/>
              <w:bCs/>
            </w:rPr>
            <w:t xml:space="preserve"> Healthcare Advocacy </w:t>
          </w:r>
          <w:r>
            <w:rPr>
              <w:rStyle w:val="A1"/>
            </w:rPr>
            <w:t xml:space="preserve">Introduction to the role of the healthcare advocate, with a focus Focuses on information that assists patients and families in the increasing complex and dynamic health care system. Fall. </w:t>
          </w:r>
        </w:p>
        <w:p w:rsidR="00390542" w:rsidRDefault="00390542">
          <w:pPr>
            <w:pStyle w:val="Pa409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HP 4543.</w:t>
          </w:r>
          <w:proofErr w:type="gramEnd"/>
          <w:r>
            <w:rPr>
              <w:rStyle w:val="A1"/>
              <w:b/>
              <w:bCs/>
            </w:rPr>
            <w:t xml:space="preserve"> Healthcare Service Delivery </w:t>
          </w:r>
          <w:r>
            <w:rPr>
              <w:rStyle w:val="A1"/>
            </w:rPr>
            <w:t>A global focus on value-based healthcare de</w:t>
          </w:r>
          <w:r>
            <w:rPr>
              <w:rStyle w:val="A1"/>
            </w:rPr>
            <w:softHyphen/>
            <w:t xml:space="preserve">livery and the World Health Organization. Approaches to principles related to health care delivery in practice that </w:t>
          </w:r>
          <w:proofErr w:type="gramStart"/>
          <w:r>
            <w:rPr>
              <w:rStyle w:val="A1"/>
            </w:rPr>
            <w:t>are</w:t>
          </w:r>
          <w:proofErr w:type="gramEnd"/>
          <w:r>
            <w:rPr>
              <w:rStyle w:val="A1"/>
            </w:rPr>
            <w:t xml:space="preserve"> effective, safe, and quality based.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390542" w:rsidRDefault="00390542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Style w:val="A1"/>
              <w:b/>
              <w:bCs/>
            </w:rPr>
            <w:t>HP 4803.</w:t>
          </w:r>
          <w:proofErr w:type="gramEnd"/>
          <w:r>
            <w:rPr>
              <w:rStyle w:val="A1"/>
              <w:b/>
              <w:bCs/>
            </w:rPr>
            <w:t xml:space="preserve"> Introduction to Geriatrics </w:t>
          </w:r>
          <w:proofErr w:type="gramStart"/>
          <w:r>
            <w:rPr>
              <w:rStyle w:val="A1"/>
            </w:rPr>
            <w:t>Provides</w:t>
          </w:r>
          <w:proofErr w:type="gramEnd"/>
          <w:r>
            <w:rPr>
              <w:rStyle w:val="A1"/>
            </w:rPr>
            <w:t xml:space="preserve"> the learner with an introduction of geriatrics through a multidisciplinary approach. Topics explored will encompass how people age physically and how this aging affects other dimensions of life. Special course fees may apply. </w:t>
          </w:r>
          <w:proofErr w:type="gramStart"/>
          <w:r>
            <w:rPr>
              <w:rStyle w:val="A1"/>
            </w:rPr>
            <w:t>Prerequisites, minimum of 60 hours.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Summer.</w:t>
          </w:r>
          <w:proofErr w:type="gramEnd"/>
        </w:p>
        <w:p w:rsidR="003F5D14" w:rsidRDefault="00390542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16"/>
              <w:szCs w:val="16"/>
            </w:rPr>
            <w:t>503</w:t>
          </w:r>
          <w:r>
            <w:rPr>
              <w:rStyle w:val="A2"/>
            </w:rPr>
            <w:t>The bulletin can be accessed at http://www.astate.edu/a/registrar/students/</w:t>
          </w:r>
        </w:p>
        <w:permEnd w:id="416822872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01" w:rsidRDefault="00AA5E01" w:rsidP="00AF3758">
      <w:pPr>
        <w:spacing w:after="0" w:line="240" w:lineRule="auto"/>
      </w:pPr>
      <w:r>
        <w:separator/>
      </w:r>
    </w:p>
  </w:endnote>
  <w:endnote w:type="continuationSeparator" w:id="0">
    <w:p w:rsidR="00AA5E01" w:rsidRDefault="00AA5E0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01" w:rsidRDefault="00AA5E01" w:rsidP="00AF3758">
      <w:pPr>
        <w:spacing w:after="0" w:line="240" w:lineRule="auto"/>
      </w:pPr>
      <w:r>
        <w:separator/>
      </w:r>
    </w:p>
  </w:footnote>
  <w:footnote w:type="continuationSeparator" w:id="0">
    <w:p w:rsidR="00AA5E01" w:rsidRDefault="00AA5E0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952F6"/>
    <w:rsid w:val="001A5DD5"/>
    <w:rsid w:val="001D12E8"/>
    <w:rsid w:val="001F5E9E"/>
    <w:rsid w:val="00212A76"/>
    <w:rsid w:val="002315B0"/>
    <w:rsid w:val="00232A28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90542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94D1C"/>
    <w:rsid w:val="008C703B"/>
    <w:rsid w:val="008E6C1C"/>
    <w:rsid w:val="00901064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A5E01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EF6AE0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390542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409">
    <w:name w:val="Pa409"/>
    <w:basedOn w:val="Normal"/>
    <w:next w:val="Normal"/>
    <w:uiPriority w:val="99"/>
    <w:rsid w:val="0039054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39054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390542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409">
    <w:name w:val="Pa409"/>
    <w:basedOn w:val="Normal"/>
    <w:next w:val="Normal"/>
    <w:uiPriority w:val="99"/>
    <w:rsid w:val="0039054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39054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inson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3D298FF11CF4C0E8F4562CE33C5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55E8-BBC1-40FF-9DD8-1E6DA3158009}"/>
      </w:docPartPr>
      <w:docPartBody>
        <w:p w:rsidR="00E223B8" w:rsidRDefault="00713AC7" w:rsidP="00713AC7">
          <w:pPr>
            <w:pStyle w:val="C3D298FF11CF4C0E8F4562CE33C50C84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61072337FE45DCB2E5D34D863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C94B-4E5E-42A0-9030-C7065DB912FA}"/>
      </w:docPartPr>
      <w:docPartBody>
        <w:p w:rsidR="00E223B8" w:rsidRDefault="00713AC7" w:rsidP="00713AC7">
          <w:pPr>
            <w:pStyle w:val="8161072337FE45DCB2E5D34D863DB52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8563F6D8E240729450FD614677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A5F2-D3C3-48C9-ACF8-035FE5134E4F}"/>
      </w:docPartPr>
      <w:docPartBody>
        <w:p w:rsidR="00000000" w:rsidRDefault="00A157EE" w:rsidP="00A157EE">
          <w:pPr>
            <w:pStyle w:val="898563F6D8E240729450FD614677EC49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9E7380"/>
    <w:rsid w:val="00A157EE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898563F6D8E240729450FD614677EC49">
    <w:name w:val="898563F6D8E240729450FD614677EC49"/>
    <w:rsid w:val="00A157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898563F6D8E240729450FD614677EC49">
    <w:name w:val="898563F6D8E240729450FD614677EC49"/>
    <w:rsid w:val="00A15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2</cp:revision>
  <dcterms:created xsi:type="dcterms:W3CDTF">2014-09-29T15:30:00Z</dcterms:created>
  <dcterms:modified xsi:type="dcterms:W3CDTF">2014-09-29T15:30:00Z</dcterms:modified>
</cp:coreProperties>
</file>